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45A2B">
      <w:pPr>
        <w:pStyle w:val="2"/>
        <w:keepNext w:val="0"/>
        <w:keepLines w:val="0"/>
        <w:widowControl/>
        <w:suppressLineNumbers w:val="0"/>
        <w:rPr>
          <w:rFonts w:hint="default" w:ascii="Times New Roman" w:hAnsi="Times New Roman" w:cs="Times New Roman"/>
        </w:rPr>
      </w:pPr>
      <w:bookmarkStart w:id="0" w:name="_GoBack"/>
      <w:r>
        <w:rPr>
          <w:rFonts w:hint="default" w:ascii="Times New Roman" w:hAnsi="Times New Roman" w:cs="Times New Roman"/>
        </w:rPr>
        <w:t>Implementation Opinions on Comprehensively Advancing the Reform to Decouple Industry Associations and Chambers of Commerce from Administrative Organs</w:t>
      </w:r>
    </w:p>
    <w:p w14:paraId="5D5169D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Document No. Fa Gai Ti Gai [2019] 1063</w:t>
      </w:r>
    </w:p>
    <w:p w14:paraId="5B8F6C5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To Party committees and people’s governments of all provinces, autonomous regions and municipalities directly under the Central Government; to ministries and commissions under the Central Committee and the State Council; to major units of the PLA and departments of the Central Military Commission; and to people’s organizations:</w:t>
      </w:r>
    </w:p>
    <w:p w14:paraId="5BDD71E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accordance with the Notice of the General Office of the CPC Central Committee and the General Office of the State Council on Issuing the Overall Plan for Decoupling Industry Associations and Chambers of Commerce from Administrative Organs (Zhongban Fa [2015] No. 39, hereinafter referred to as the “Overall Plan”), and with the approval of the CPC Central Committee and the State Council, the following opinions are hereby put forward on comprehensively advancing the reform of decoupling industry associations and chambers of commerce from administrative organs.</w:t>
      </w:r>
    </w:p>
    <w:p w14:paraId="65503AC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27742AD8">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 General Requirements</w:t>
      </w:r>
    </w:p>
    <w:p w14:paraId="0A4AD86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accordance with the principle of de-administration, implement the reform requirements of “Five Separations and Five Standards,” and fully realize the decoupling of industry associations and chambers of commerce from administrative organs.</w:t>
      </w:r>
    </w:p>
    <w:p w14:paraId="41A7684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Accelerate the transformation of government functions, innovate governance methods, promote industry associations and chambers of commerce to enhance service capacity, operate in accordance with the law, develop in a healthy and orderly manner, and fully发挥 their role.</w:t>
      </w:r>
    </w:p>
    <w:p w14:paraId="34119BE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Reform Principles</w:t>
      </w:r>
    </w:p>
    <w:p w14:paraId="01CBE89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1. Full Coverage (“All That Should Be Decoupled Must Be Decoupled”)</w:t>
      </w:r>
      <w:r>
        <w:rPr>
          <w:rFonts w:hint="default" w:ascii="Times New Roman" w:hAnsi="Times New Roman" w:cs="Times New Roman"/>
        </w:rPr>
        <w:br w:type="textWrapping"/>
      </w:r>
      <w:r>
        <w:rPr>
          <w:rFonts w:hint="default" w:ascii="Times New Roman" w:hAnsi="Times New Roman" w:cs="Times New Roman"/>
        </w:rPr>
        <w:t>All eligible associations within the reform scope shall decouple from administrative organs and become:</w:t>
      </w:r>
    </w:p>
    <w:p w14:paraId="4023ADF8">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Legally established</w:t>
      </w:r>
    </w:p>
    <w:p w14:paraId="32200E8D">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Independently operated</w:t>
      </w:r>
    </w:p>
    <w:p w14:paraId="36062E9E">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Service-oriented</w:t>
      </w:r>
    </w:p>
    <w:p w14:paraId="587E8541">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Well-governed</w:t>
      </w:r>
    </w:p>
    <w:p w14:paraId="2EB5FAB9">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Self-disciplined social organizations</w:t>
      </w:r>
    </w:p>
    <w:p w14:paraId="6A270749">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2. Responsibility of Supervising Authorities</w:t>
      </w:r>
      <w:r>
        <w:rPr>
          <w:rFonts w:hint="default" w:ascii="Times New Roman" w:hAnsi="Times New Roman" w:cs="Times New Roman"/>
        </w:rPr>
        <w:br w:type="textWrapping"/>
      </w:r>
      <w:r>
        <w:rPr>
          <w:rFonts w:hint="default" w:ascii="Times New Roman" w:hAnsi="Times New Roman" w:cs="Times New Roman"/>
        </w:rPr>
        <w:t>Former supervising units must properly guide and support the reform process and may not prematurely abandon responsibilities.</w:t>
      </w:r>
    </w:p>
    <w:p w14:paraId="1BE80B83">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3. Coordinated Promotion Mechanism</w:t>
      </w:r>
      <w:r>
        <w:rPr>
          <w:rFonts w:hint="default" w:ascii="Times New Roman" w:hAnsi="Times New Roman" w:cs="Times New Roman"/>
        </w:rPr>
        <w:br w:type="textWrapping"/>
      </w:r>
      <w:r>
        <w:rPr>
          <w:rFonts w:hint="default" w:ascii="Times New Roman" w:hAnsi="Times New Roman" w:cs="Times New Roman"/>
        </w:rPr>
        <w:t>A joint working group shall guide reform.</w:t>
      </w:r>
    </w:p>
    <w:p w14:paraId="1511FA9A">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National-level associations: led by the Ministry of Civil Affairs</w:t>
      </w:r>
    </w:p>
    <w:p w14:paraId="41FB1ACF">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Local associations: implemented through local joint mechanisms</w:t>
      </w:r>
      <w:r>
        <w:rPr>
          <w:rFonts w:hint="default" w:ascii="Times New Roman" w:hAnsi="Times New Roman" w:cs="Times New Roman"/>
        </w:rPr>
        <w:br w:type="textWrapping"/>
      </w:r>
      <w:r>
        <w:rPr>
          <w:rFonts w:hint="default" w:ascii="Times New Roman" w:hAnsi="Times New Roman" w:cs="Times New Roman"/>
        </w:rPr>
        <w:t>Relevant departments (NDRC, Civil Affairs, Organization, Finance, Human Resources and Social Security, etc.) shall coordinate.</w:t>
      </w:r>
    </w:p>
    <w:p w14:paraId="2E77393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158CA6C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 Reform Entities and Scope</w:t>
      </w:r>
    </w:p>
    <w:p w14:paraId="02A96D1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Entities Subject to Reform</w:t>
      </w:r>
    </w:p>
    <w:p w14:paraId="7973402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Administrative organs at all levels and the industry associations/chambers of commerce they:</w:t>
      </w:r>
    </w:p>
    <w:p w14:paraId="398E0B03">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w:t>
      </w:r>
    </w:p>
    <w:p w14:paraId="3D30E8F9">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Supervise</w:t>
      </w:r>
    </w:p>
    <w:p w14:paraId="447DF983">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Affiliate with</w:t>
      </w:r>
    </w:p>
    <w:p w14:paraId="60273BC5">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w:t>
      </w:r>
    </w:p>
    <w:p w14:paraId="48489BA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Units managed under the Civil Servant Law follow the same rules.</w:t>
      </w:r>
    </w:p>
    <w:p w14:paraId="4DFBA0B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Associations Included</w:t>
      </w:r>
    </w:p>
    <w:p w14:paraId="5009D486">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Organizations that:</w:t>
      </w:r>
    </w:p>
    <w:p w14:paraId="5B6763DE">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Consist mainly of entities engaged in similar economic activities</w:t>
      </w:r>
    </w:p>
    <w:p w14:paraId="6C872527">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Use names such as “Association,” “Chamber of Commerce,” “Federation,” etc.</w:t>
      </w:r>
    </w:p>
    <w:p w14:paraId="484401A3">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Are registered as social organizations</w:t>
      </w:r>
    </w:p>
    <w:p w14:paraId="7931C4C6">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National associations listed in the decoupling list must complete reform within the required timeframe.</w:t>
      </w:r>
    </w:p>
    <w:p w14:paraId="04EA91D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0BF094C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III. Specific Reform Tasks</w:t>
      </w:r>
    </w:p>
    <w:p w14:paraId="0460985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 Institutional Separation</w:t>
      </w:r>
    </w:p>
    <w:p w14:paraId="69C4179F">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Cancel sponsoring/supervising relationships</w:t>
      </w:r>
    </w:p>
    <w:p w14:paraId="24464EE5">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Eliminate the business supervisory unit system</w:t>
      </w:r>
    </w:p>
    <w:p w14:paraId="3F3431B2">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direct registration</w:t>
      </w:r>
    </w:p>
    <w:p w14:paraId="12D00776">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Restructure affiliated public institutions</w:t>
      </w:r>
    </w:p>
    <w:p w14:paraId="2ADF75F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2DD50A0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 Functional Separation</w:t>
      </w:r>
    </w:p>
    <w:p w14:paraId="2AE409F2">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Clarify government vs. association functions</w:t>
      </w:r>
    </w:p>
    <w:p w14:paraId="28C2C6E3">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Strip administrative functions from associations</w:t>
      </w:r>
    </w:p>
    <w:p w14:paraId="2AA5DA06">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Government may not delegate statutory powers unless provided by law</w:t>
      </w:r>
    </w:p>
    <w:p w14:paraId="718C8A8F">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government service purchasing</w:t>
      </w:r>
    </w:p>
    <w:p w14:paraId="59BBE14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2722B307">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(3) Asset and Financial Separation</w:t>
      </w:r>
    </w:p>
    <w:p w14:paraId="34829246">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Cancel direct fiscal appropriations</w:t>
      </w:r>
    </w:p>
    <w:p w14:paraId="5D3DF9D2">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Adopt government purchase-of-service model</w:t>
      </w:r>
    </w:p>
    <w:p w14:paraId="1A115430">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independent accounting</w:t>
      </w:r>
    </w:p>
    <w:p w14:paraId="5F52BBEB">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Strictly prevent loss of state-owned assets</w:t>
      </w:r>
    </w:p>
    <w:p w14:paraId="1BB03A58">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Vacate government office space</w:t>
      </w:r>
    </w:p>
    <w:p w14:paraId="47D8A9F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7DF3913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(4) Personnel Management Separation</w:t>
      </w:r>
    </w:p>
    <w:p w14:paraId="2611F2D5">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labor contract system</w:t>
      </w:r>
    </w:p>
    <w:p w14:paraId="5B2A9001">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Independent recruitment and management</w:t>
      </w:r>
    </w:p>
    <w:p w14:paraId="356984EF">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Participate in local social insurance</w:t>
      </w:r>
    </w:p>
    <w:p w14:paraId="3314FE7B">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Prohibit active or recently retired officials from holding positions (with approval exceptions)</w:t>
      </w:r>
    </w:p>
    <w:p w14:paraId="1A5B7E9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3341AAF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(5) Party-Building and Foreign Affairs Separation</w:t>
      </w:r>
    </w:p>
    <w:p w14:paraId="5E1A777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After decoupling:</w:t>
      </w:r>
    </w:p>
    <w:p w14:paraId="3B94420A">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National associations’ Party work supervised by central Party bodies</w:t>
      </w:r>
    </w:p>
    <w:p w14:paraId="26564AC8">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Local associations’ Party work supervised by local Party social organization departments</w:t>
      </w:r>
    </w:p>
    <w:p w14:paraId="38A2EBF1">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Foreign affairs managed under government regulations</w:t>
      </w:r>
    </w:p>
    <w:p w14:paraId="559D8A7C">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Personnel file management services provided by public employment agencies</w:t>
      </w:r>
    </w:p>
    <w:p w14:paraId="0C747DE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414FB7B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IV. Strengthening Party Building</w:t>
      </w:r>
    </w:p>
    <w:p w14:paraId="4248BF1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Ensure:</w:t>
      </w:r>
    </w:p>
    <w:p w14:paraId="56F74B8C">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Continuous Party leadership</w:t>
      </w:r>
    </w:p>
    <w:p w14:paraId="628EAB8A">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Organizational coverage</w:t>
      </w:r>
    </w:p>
    <w:p w14:paraId="5FCA9591">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Institutional mechanisms</w:t>
      </w:r>
    </w:p>
    <w:p w14:paraId="60625C36">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Integrity construction</w:t>
      </w:r>
    </w:p>
    <w:p w14:paraId="25CE28F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Key measures include:</w:t>
      </w:r>
    </w:p>
    <w:p w14:paraId="6D6C6073">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Incorporating Party-building into charters</w:t>
      </w:r>
    </w:p>
    <w:p w14:paraId="067E98A8">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Dual entry and cross-appointment of Party and management members</w:t>
      </w:r>
    </w:p>
    <w:p w14:paraId="4B9EE456">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Ensuring Party organization establishment where conditions allow</w:t>
      </w:r>
    </w:p>
    <w:p w14:paraId="72C7C449">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Funding Party work from management expenses</w:t>
      </w:r>
    </w:p>
    <w:p w14:paraId="71C4BA8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7E39ACC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 Improving Comprehensive Supervision</w:t>
      </w:r>
    </w:p>
    <w:p w14:paraId="1A4CA36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Establish a coordinated regulatory system involving:</w:t>
      </w:r>
    </w:p>
    <w:p w14:paraId="213948CE">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Party-building bodies</w:t>
      </w:r>
    </w:p>
    <w:p w14:paraId="20FF8181">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Civil affairs</w:t>
      </w:r>
    </w:p>
    <w:p w14:paraId="4D6DB93D">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Finance</w:t>
      </w:r>
    </w:p>
    <w:p w14:paraId="44ED3C65">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Taxation</w:t>
      </w:r>
    </w:p>
    <w:p w14:paraId="436911E8">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Audit</w:t>
      </w:r>
    </w:p>
    <w:p w14:paraId="0C0F8C30">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Market regulation</w:t>
      </w:r>
    </w:p>
    <w:p w14:paraId="06E2452D">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 Registration Management</w:t>
      </w:r>
    </w:p>
    <w:p w14:paraId="2A22468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Strict review of establishment necessity and governance capacity.</w:t>
      </w:r>
    </w:p>
    <w:p w14:paraId="3F881C09">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 Asset Supervision</w:t>
      </w:r>
    </w:p>
    <w:p w14:paraId="259F722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Implement asset management regulations; audit public funds.</w:t>
      </w:r>
    </w:p>
    <w:p w14:paraId="2021782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 Fee Regulation</w:t>
      </w:r>
    </w:p>
    <w:p w14:paraId="417802E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Standardize fee practices and public disclosure via the “Credit China” platform.</w:t>
      </w:r>
    </w:p>
    <w:p w14:paraId="23B500F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(4) Industry Guidance</w:t>
      </w:r>
    </w:p>
    <w:p w14:paraId="3C38A10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Encourage associations to participate in legislation, standards, planning, data statistics, and integrity systems.</w:t>
      </w:r>
    </w:p>
    <w:p w14:paraId="52702A8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(5) Credit Supervision</w:t>
      </w:r>
    </w:p>
    <w:p w14:paraId="01CD12CB">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integrity commitment system</w:t>
      </w:r>
    </w:p>
    <w:p w14:paraId="12E8DDC3">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Blacklist system for dishonesty</w:t>
      </w:r>
    </w:p>
    <w:p w14:paraId="7AB2AC9D">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Joint disciplinary mechanisms</w:t>
      </w:r>
    </w:p>
    <w:p w14:paraId="491B26F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7B1D75CA">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VI. Organization and Implementation</w:t>
      </w:r>
    </w:p>
    <w:p w14:paraId="4D82204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Reform shall be basically completed by the end of 2020.</w:t>
      </w:r>
    </w:p>
    <w:p w14:paraId="5F7C460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Key requirements:</w:t>
      </w:r>
    </w:p>
    <w:p w14:paraId="12199337">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Maintain stability</w:t>
      </w:r>
    </w:p>
    <w:p w14:paraId="20E2F1C5">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Prevent risks</w:t>
      </w:r>
    </w:p>
    <w:p w14:paraId="4AE4CEA2">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Ensure orderly transition</w:t>
      </w:r>
    </w:p>
    <w:p w14:paraId="60289CA0">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Fulfill responsibilities before full decoupling</w:t>
      </w:r>
    </w:p>
    <w:p w14:paraId="2108E79B">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Associations must strengthen risk control and report major issues promptly.</w:t>
      </w:r>
    </w:p>
    <w:p w14:paraId="0975673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This Opinion shall take effect upon issuance.</w:t>
      </w:r>
    </w:p>
    <w:p w14:paraId="4514B56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314AC02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Issued by:</w:t>
      </w:r>
    </w:p>
    <w:p w14:paraId="5F48953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National Development and Reform Commission</w:t>
      </w:r>
      <w:r>
        <w:rPr>
          <w:rFonts w:hint="default" w:ascii="Times New Roman" w:hAnsi="Times New Roman" w:cs="Times New Roman"/>
        </w:rPr>
        <w:br w:type="textWrapping"/>
      </w:r>
      <w:r>
        <w:rPr>
          <w:rFonts w:hint="default" w:ascii="Times New Roman" w:hAnsi="Times New Roman" w:cs="Times New Roman"/>
        </w:rPr>
        <w:t>Ministry of Civil Affairs</w:t>
      </w:r>
      <w:r>
        <w:rPr>
          <w:rFonts w:hint="default" w:ascii="Times New Roman" w:hAnsi="Times New Roman" w:cs="Times New Roman"/>
        </w:rPr>
        <w:br w:type="textWrapping"/>
      </w:r>
      <w:r>
        <w:rPr>
          <w:rFonts w:hint="default" w:ascii="Times New Roman" w:hAnsi="Times New Roman" w:cs="Times New Roman"/>
        </w:rPr>
        <w:t>Organization Department of the CPC Central Committee</w:t>
      </w:r>
      <w:r>
        <w:rPr>
          <w:rFonts w:hint="default" w:ascii="Times New Roman" w:hAnsi="Times New Roman" w:cs="Times New Roman"/>
        </w:rPr>
        <w:br w:type="textWrapping"/>
      </w:r>
      <w:r>
        <w:rPr>
          <w:rFonts w:hint="default" w:ascii="Times New Roman" w:hAnsi="Times New Roman" w:cs="Times New Roman"/>
        </w:rPr>
        <w:t>Central Institutional Organization Commission Office</w:t>
      </w:r>
      <w:r>
        <w:rPr>
          <w:rFonts w:hint="default" w:ascii="Times New Roman" w:hAnsi="Times New Roman" w:cs="Times New Roman"/>
        </w:rPr>
        <w:br w:type="textWrapping"/>
      </w:r>
      <w:r>
        <w:rPr>
          <w:rFonts w:hint="default" w:ascii="Times New Roman" w:hAnsi="Times New Roman" w:cs="Times New Roman"/>
        </w:rPr>
        <w:t>Working Committee of the Central and State Organs</w:t>
      </w:r>
      <w:r>
        <w:rPr>
          <w:rFonts w:hint="default" w:ascii="Times New Roman" w:hAnsi="Times New Roman" w:cs="Times New Roman"/>
        </w:rPr>
        <w:br w:type="textWrapping"/>
      </w:r>
      <w:r>
        <w:rPr>
          <w:rFonts w:hint="default" w:ascii="Times New Roman" w:hAnsi="Times New Roman" w:cs="Times New Roman"/>
        </w:rPr>
        <w:t>Ministry of Foreign Affairs</w:t>
      </w:r>
      <w:r>
        <w:rPr>
          <w:rFonts w:hint="default" w:ascii="Times New Roman" w:hAnsi="Times New Roman" w:cs="Times New Roman"/>
        </w:rPr>
        <w:br w:type="textWrapping"/>
      </w:r>
      <w:r>
        <w:rPr>
          <w:rFonts w:hint="default" w:ascii="Times New Roman" w:hAnsi="Times New Roman" w:cs="Times New Roman"/>
        </w:rPr>
        <w:t>Ministry of Finance</w:t>
      </w:r>
      <w:r>
        <w:rPr>
          <w:rFonts w:hint="default" w:ascii="Times New Roman" w:hAnsi="Times New Roman" w:cs="Times New Roman"/>
        </w:rPr>
        <w:br w:type="textWrapping"/>
      </w:r>
      <w:r>
        <w:rPr>
          <w:rFonts w:hint="default" w:ascii="Times New Roman" w:hAnsi="Times New Roman" w:cs="Times New Roman"/>
        </w:rPr>
        <w:t>Ministry of Human Resources and Social Security</w:t>
      </w:r>
      <w:r>
        <w:rPr>
          <w:rFonts w:hint="default" w:ascii="Times New Roman" w:hAnsi="Times New Roman" w:cs="Times New Roman"/>
        </w:rPr>
        <w:br w:type="textWrapping"/>
      </w:r>
      <w:r>
        <w:rPr>
          <w:rFonts w:hint="default" w:ascii="Times New Roman" w:hAnsi="Times New Roman" w:cs="Times New Roman"/>
        </w:rPr>
        <w:t>State-owned Assets Supervision and Administration Commission</w:t>
      </w:r>
      <w:r>
        <w:rPr>
          <w:rFonts w:hint="default" w:ascii="Times New Roman" w:hAnsi="Times New Roman" w:cs="Times New Roman"/>
        </w:rPr>
        <w:br w:type="textWrapping"/>
      </w:r>
      <w:r>
        <w:rPr>
          <w:rFonts w:hint="default" w:ascii="Times New Roman" w:hAnsi="Times New Roman" w:cs="Times New Roman"/>
        </w:rPr>
        <w:t>State Administration of Government Offices</w:t>
      </w:r>
    </w:p>
    <w:p w14:paraId="5440523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June 14, 2019</w:t>
      </w:r>
    </w:p>
    <w:p w14:paraId="777ECAF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73D6D28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If needed, I can also provide:</w:t>
      </w:r>
    </w:p>
    <w:p w14:paraId="408CDF49">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 concise executive summary (2–3 pages)</w:t>
      </w:r>
    </w:p>
    <w:p w14:paraId="267C5D1A">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 legal-policy analytical version</w:t>
      </w:r>
    </w:p>
    <w:p w14:paraId="366FCE65">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 comparative analysis with the 2015 Overall Plan</w:t>
      </w:r>
    </w:p>
    <w:p w14:paraId="79A38713">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 governance reform research framework</w:t>
      </w:r>
    </w:p>
    <w:p w14:paraId="5B5DA824">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 structured PPT outline for presentation purposes</w:t>
      </w:r>
    </w:p>
    <w:p w14:paraId="1061D0C1">
      <w:pPr>
        <w:rPr>
          <w:rFonts w:hint="default" w:ascii="Times New Roman" w:hAnsi="Times New Roman" w:cs="Times New Roman"/>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FEDFF"/>
    <w:multiLevelType w:val="multilevel"/>
    <w:tmpl w:val="883FEDF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91F2C17D"/>
    <w:multiLevelType w:val="multilevel"/>
    <w:tmpl w:val="91F2C17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A46F4422"/>
    <w:multiLevelType w:val="multilevel"/>
    <w:tmpl w:val="A46F442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AB1A351D"/>
    <w:multiLevelType w:val="multilevel"/>
    <w:tmpl w:val="AB1A351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C478992F"/>
    <w:multiLevelType w:val="multilevel"/>
    <w:tmpl w:val="C478992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C6C6D707"/>
    <w:multiLevelType w:val="multilevel"/>
    <w:tmpl w:val="C6C6D70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DCB2EEDF"/>
    <w:multiLevelType w:val="multilevel"/>
    <w:tmpl w:val="DCB2EED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E5BA8DD6"/>
    <w:multiLevelType w:val="multilevel"/>
    <w:tmpl w:val="E5BA8DD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E6BD239A"/>
    <w:multiLevelType w:val="multilevel"/>
    <w:tmpl w:val="E6BD239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03CCEA27"/>
    <w:multiLevelType w:val="multilevel"/>
    <w:tmpl w:val="03CCEA2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1A05385E"/>
    <w:multiLevelType w:val="multilevel"/>
    <w:tmpl w:val="1A05385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44D3B85E"/>
    <w:multiLevelType w:val="multilevel"/>
    <w:tmpl w:val="44D3B85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66FD6379"/>
    <w:multiLevelType w:val="multilevel"/>
    <w:tmpl w:val="66FD637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681FBE30"/>
    <w:multiLevelType w:val="multilevel"/>
    <w:tmpl w:val="681FBE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789631D8"/>
    <w:multiLevelType w:val="multilevel"/>
    <w:tmpl w:val="789631D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 w:numId="2">
    <w:abstractNumId w:val="12"/>
  </w:num>
  <w:num w:numId="3">
    <w:abstractNumId w:val="3"/>
  </w:num>
  <w:num w:numId="4">
    <w:abstractNumId w:val="6"/>
  </w:num>
  <w:num w:numId="5">
    <w:abstractNumId w:val="14"/>
  </w:num>
  <w:num w:numId="6">
    <w:abstractNumId w:val="13"/>
  </w:num>
  <w:num w:numId="7">
    <w:abstractNumId w:val="4"/>
  </w:num>
  <w:num w:numId="8">
    <w:abstractNumId w:val="10"/>
  </w:num>
  <w:num w:numId="9">
    <w:abstractNumId w:val="5"/>
  </w:num>
  <w:num w:numId="10">
    <w:abstractNumId w:val="11"/>
  </w:num>
  <w:num w:numId="11">
    <w:abstractNumId w:val="8"/>
  </w:num>
  <w:num w:numId="12">
    <w:abstractNumId w:val="7"/>
  </w:num>
  <w:num w:numId="13">
    <w:abstractNumId w:val="9"/>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A84F9F"/>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ADA1C95"/>
    <w:rsid w:val="4C326C11"/>
    <w:rsid w:val="50C10F02"/>
    <w:rsid w:val="52AA2CA4"/>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5527</Words>
  <Characters>5564</Characters>
  <Lines>0</Lines>
  <Paragraphs>0</Paragraphs>
  <TotalTime>38</TotalTime>
  <ScaleCrop>false</ScaleCrop>
  <LinksUpToDate>false</LinksUpToDate>
  <CharactersWithSpaces>5593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2026-03-25T01:36:18Z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DEEAAA862FCB42529196BE4CFE05FB12_13</vt:lpwstr>
  </property>
  <property fmtid="{D5CDD505-2E9C-101B-9397-08002B2CF9AE}" pid="4" name="KSOTemplateDocerSaveRecord">
    <vt:lpwstr>eyJoZGlkIjoiOTM3YTZhMmQ5YjRkYWU4ZjU1Y2RhODcyN2E4MDQ1YWIiLCJ1c2VySWQiOiI0MzUzNTQ5NTIifQ==</vt:lpwstr>
  </property>
</Properties>
</file>